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KÖVETELMÉNYRENDSZER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1"/>
        <w:tblGridChange w:id="0">
          <w:tblGrid>
            <w:gridCol w:w="11011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Semmelweis Egyetem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Oktatási szervezeti egység megnevezése: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Általános Orvostudományi Kar                                               II.sz. Gyermekgyógyászati Klinika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neve:  Csecsemő – és Gyermekgyógyászat I. ( 1. szemeszter)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típusa : kötelező tantárgy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kódja: AOGY2GYE21M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kreditértéke: 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előadójának neve: Dr. Szabó András, egyetemi tanár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Tanév : 2018/201</w:t>
            </w: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tantárgy feladata a képzés céljának megvalósításában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Csecsemő- és Gyermekgyógyászati ismeretek legalapvetőbb ismereteinek elsajátítása, gyakorlati ismeretek megszerzése.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tárgy tematikája: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tantárgy oktatása blokkosított formában, az előírt szabályok szerint zajlik.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Előadások tematikája: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Bevezetés a csecsemő- és gyermekgyógyászatba. Növekedés és fejlődés a csecsemő- és kisgyermekkorban.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születés utáni adaptáció</w:t>
            </w:r>
            <w:r w:rsidDel="00000000" w:rsidR="00000000" w:rsidRPr="00000000">
              <w:rPr>
                <w:rtl w:val="0"/>
              </w:rPr>
              <w:t xml:space="preserve">, újszülött fiziológia. A legfontosabb neonatológiai kórképek.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Neurológiai betegségek gyermekkorban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Kalcium anyagcsere zavarai. D-vitamin hiány szerepe a krónikus betegségek kialakulásában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Csecsemőtáplálás. Az anyatejes táplálás fontossága. Veleszületett anyagcsere betegségek ellátása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 szív veleszületett rendellenességei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Gyermekkori légúti infekciók és ellátásuk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Intenzív terápiát igénylő fontosabb kórképek a gyermekkorban. Sürgősségi betegellátás gyermekkorban.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Képalkotó vizsgálatok és indikációik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Gyermektraumatológia, a bántalmazott gyermek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Anaemia. A csontvelő malignus betegségei, Leukémiák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 növekedés és a nemi fejlődés zavarai. Diagnosztika és terápiás lehetőségek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Bakteriális infekciók diagnosztikája és kezelésük alapelvei gyermekkorban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Kiütéssel járó gyermekkori kórképek. Fertőző betegségek megelőzése, Védőoltások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Bőrgyógyászati kórképek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 születés utáni adaptáció, újszülött fiziológia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 csecsemőkori neurológiai eltérések a képalkotó eljárások tükrében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Húgyúti Infekciók és ellátásuk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Klinikai genetika a gyermekgyógyászatban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color="auto" w:space="1" w:sz="0" w:val="none"/>
                <w:bottom w:color="auto" w:space="1" w:sz="0" w:val="none"/>
                <w:between w:color="auto" w:space="1" w:sz="0" w:val="none"/>
              </w:pBd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Folyadék-elektrolit háztartás, sav-bázis szabályozás zavarai. Heveny hasmenés ellátása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Gyakorlati tematika: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Anamnézisfelvétel, betegbemutatás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Fizikális vizsgálat, betegbemutatás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Fiziológiás paraméterek változása gyermekkorban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Gyermeknefrológia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folyadékterápia alapjai, infúziós oldatok ismertetése, parenterális táplálás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Hematológiai kenetvizsgálat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Gyermekgasztroenterológiai vizsgálómódszerek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Gyógyszerelési gyakorlat a gyermekgyógyászatban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Anaemiák, vérképelemzés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Gyermekneurológia a gyakorlatban, betegbemutatás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Reumatológiai betegvizsgálat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Csecsemőtáplálás a gyakorlatban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Asthma bronchiale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Gyermekradiológia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Vérgáz leletek értelmezése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Légúti idegentest eltávolítás, alapvető gyermekgyógyászati sürgősségi készségek elsajátítása (Szkill Labor)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Gyakorlat gyermekgyógyászati osztályokon 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Hematoonkológiai spec.gyakorlat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PIC spec. gyakorlar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foglalkozásokon való részvétel követelményei és a távolmaradás pótlásának lehetősége: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35.0" w:type="dxa"/>
              <w:jc w:val="left"/>
              <w:tblLayout w:type="fixed"/>
              <w:tblLook w:val="0000"/>
            </w:tblPr>
            <w:tblGrid>
              <w:gridCol w:w="7075"/>
              <w:gridCol w:w="1012"/>
              <w:gridCol w:w="2348"/>
              <w:tblGridChange w:id="0">
                <w:tblGrid>
                  <w:gridCol w:w="7075"/>
                  <w:gridCol w:w="1012"/>
                  <w:gridCol w:w="2348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Minden csoport számára a félévben két hetes gyakorlati kurzust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tartunk. A kurzusokra a NEPTUN rendszerben van lehetőség jelentkezni. Az osztályos gyakorlatok során a hallgatók elsajátítják az alapvető gyermekgyógyászati  vizsgálat alapjait, valamint a gyakorlatvezetővel megbeszélik a betegek kapcsán felmerülő gyermekgyógyászati problémákat. A gyakorlati tematikába illesztett speciális foglalkozások során az adott szakterület specialistája bemutatja a téma alapvető fontosságú kérdéseit.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Gyakorlatra fonendoszkópot kötelező hozni, fonendoszkóp nélkül a gyakorlat nem tekinthető teljesítettnek. A gyakorlatokon a részvétel kötelező. A két hetes gyakorlati kurzuson belül a mindenkori összóraszám maximum 25%-á</w:t>
                  </w:r>
                  <w:r w:rsidDel="00000000" w:rsidR="00000000" w:rsidRPr="00000000">
                    <w:rPr>
                      <w:rtl w:val="0"/>
                    </w:rPr>
                    <w:t xml:space="preserve">ról lehet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hiány</w:t>
                  </w:r>
                  <w:r w:rsidDel="00000000" w:rsidR="00000000" w:rsidRPr="00000000">
                    <w:rPr>
                      <w:rtl w:val="0"/>
                    </w:rPr>
                    <w:t xml:space="preserve">ozni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. Ezen felül a hiányzásokat pótolni kell, más turnus adott gyakorlatán való részvétellel.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félévközi ellenőrzések (beszámolók, zárthelyi dolgozatok) száma, témaköre és időpontja, pótlásuk és javításuk lehetősége: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gyakorlati kurzus utolsó óráján a hallgatók úgynevezett minimális kompetencia tesztet írnak. A teszt anyagát a gyakorlatokon elhangzottak adják. A teszt megírására későbbi turnusban is van lehetőség. 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04.0" w:type="dxa"/>
              <w:jc w:val="left"/>
              <w:tblLayout w:type="fixed"/>
              <w:tblLook w:val="0000"/>
            </w:tblPr>
            <w:tblGrid>
              <w:gridCol w:w="10204"/>
              <w:tblGridChange w:id="0">
                <w:tblGrid>
                  <w:gridCol w:w="10204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shd w:fill="ffffff" w:val="clear"/>
                  <w:vAlign w:val="bottom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Az igazolás módja a foglalkozásokon és a vizsgán való távollét esetén: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Gyakorlatról történő hiányzás esetén a hallgatónak másik turnusban lehetősége van az adott gyakorlati óra pótlására.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félév végi aláírás követelményei: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795.0" w:type="dxa"/>
              <w:jc w:val="left"/>
              <w:tblLayout w:type="fixed"/>
              <w:tblLook w:val="0000"/>
            </w:tblPr>
            <w:tblGrid>
              <w:gridCol w:w="10795"/>
              <w:tblGridChange w:id="0">
                <w:tblGrid>
                  <w:gridCol w:w="10795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 hallgatók egyéni, gyakorlati jelenléti íven vezetik, hogy mely gyakorlatokon vettek részt. A gyakorlatvezető aláírásával igazolja a részvételt. Az a hallgató kaphat aláírást, aki az előírt számú gyakorlaton részt vett és a  minimális kompetencia teszten legalább 60%-os eredményt ért el.</w:t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osztályzat kialakításának módja: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Gyakorlati jegy</w:t>
            </w:r>
          </w:p>
          <w:tbl>
            <w:tblPr>
              <w:tblStyle w:val="Table5"/>
              <w:tblW w:w="10614.0" w:type="dxa"/>
              <w:jc w:val="left"/>
              <w:tblLayout w:type="fixed"/>
              <w:tblLook w:val="0000"/>
            </w:tblPr>
            <w:tblGrid>
              <w:gridCol w:w="10614"/>
              <w:tblGridChange w:id="0">
                <w:tblGrid>
                  <w:gridCol w:w="10614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 gyakorlati vizsgák a gyakorlati kurzusok utolsó napján történnek.</w:t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vizsga típusa: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nincs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Vizsgakövetelmények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nincs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vizsgajelentkezés módja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nincs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vizsgajelentkezés módosításának rendje: 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vizsgáról való távolmaradás igazolásának módja:  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tananyag elsajátításához felhasználható jegyzetek, tankönyvek, segédletek és szakirodalom listája: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620.0" w:type="dxa"/>
              <w:jc w:val="left"/>
              <w:tblLayout w:type="fixed"/>
              <w:tblLook w:val="0000"/>
            </w:tblPr>
            <w:tblGrid>
              <w:gridCol w:w="6885"/>
              <w:gridCol w:w="983"/>
              <w:gridCol w:w="2752"/>
              <w:tblGridChange w:id="0">
                <w:tblGrid>
                  <w:gridCol w:w="6885"/>
                  <w:gridCol w:w="983"/>
                  <w:gridCol w:w="2752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Maródi László (szerk.): Gyermekgyógyászat (Medicina, 2014..)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Túri Sándor (szerk.): A gyermekgyógyászat alapjai orvostanhallgatóknak (Medicina, 2009.)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Oláh Éva (szerk.): Gyermekgyógyászati kézikönyv (Medicina,2009.)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Tulassay Tivadar (szerk.): Gyermekgyógyászati Útmutató(Medition,2003-2009)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KÖVETELMÉNYRENDSZER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Semmelweis Egyetem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Oktatási szervezeti egység megnevezése: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Általános Orvostudományi Kar                                               II.sz. Gyermekgyógyászati Klinika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neve:  Csecsemő – és Gyermekgyógyászat II. (2. szemeszter)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típusa : kötelező tantárgy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kódja: AOGY2GYE22M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kreditértéke: 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előadójának neve: Dr. Szabó András, egyetemi tanár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Tanév : 201</w:t>
            </w: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tantárgy feladata a képzés céljának megvalósításában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Csecsemő- és Gyermekgyógyászati ismeretek legalapvetőbb ismereteinek elsajátítása, gyakorlati ismeretek megszerzése.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tárgy tematikája: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idei tanévtől a tantárgy oktatása blokkosított formában, az előírt szabályok szerint zajlik.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Előadások tematikája: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Nephrológiai bonbonok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Immunológiai – reumatológia  betegségek DD-a, biológiai terápiák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Vitaminok, antioxidánsok, csodaszerek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Daganatos betegségek korai felismerése</w:t>
            </w:r>
          </w:p>
          <w:p w:rsidR="00000000" w:rsidDel="00000000" w:rsidP="00000000" w:rsidRDefault="00000000" w:rsidRPr="00000000" w14:paraId="0000007C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Nagy nyirokcsomó-tumor?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Onkológiai</w:t>
            </w:r>
            <w:r w:rsidDel="00000000" w:rsidR="00000000" w:rsidRPr="00000000">
              <w:rPr>
                <w:rFonts w:ascii="Arial" w:cs="Arial" w:eastAsia="Arial" w:hAnsi="Arial"/>
                <w:color w:val="00b05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sürgősségi állapotok!</w:t>
            </w:r>
          </w:p>
          <w:p w:rsidR="00000000" w:rsidDel="00000000" w:rsidP="00000000" w:rsidRDefault="00000000" w:rsidRPr="00000000" w14:paraId="0000007E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Hasi terime DD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Valami ideg!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Hormonok vagy valami más?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Sárga csecsemő, sárga gyermek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Vérzékenység, fokozott alvadás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Modern infektológiai szemlélet a gyermekgyógyászatban</w:t>
            </w:r>
          </w:p>
          <w:p w:rsidR="00000000" w:rsidDel="00000000" w:rsidP="00000000" w:rsidRDefault="00000000" w:rsidRPr="00000000" w14:paraId="00000084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Őssejt terápiák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Gyerekgyógyászat a háziorvos szemével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Mérgezések</w:t>
            </w:r>
          </w:p>
          <w:p w:rsidR="00000000" w:rsidDel="00000000" w:rsidP="00000000" w:rsidRDefault="00000000" w:rsidRPr="00000000" w14:paraId="00000087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Balesetek, égés betegségek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Diéták, táplálásterápia a gyermekgyógyászatban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Neuromusculáris betegségek ellátása, új lehetőségek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cukoranyagcsere zavarai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Gyakorlati tematika: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Nefrológiai esetek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Hasfájás, Morbus Crohn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Diabeteses gyerek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 fül-orr-gégészeti esetek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Görcsállapotok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Táplálásterápia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Obes gyermek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Leukocitózis (vérképelemzés)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Fejfájás- esetismertetés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Pulmonológiai beteg, sürgősségi áll.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 kardiológiai esetek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Gyermeksürgősségi esetek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Reumatológiai beteg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Gyermeksebészeti esetek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Gyermekpszichológia - szituációs gyak.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ITP/ trombocitopenia - esetek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Gyermek és csecsemő újraélesztés (Szkill Labor)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Csontvelő transzplantáció spec. gyakorlat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Gyermeksebészet - osztályos gyakorlat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Gyermekgyógyászati osztályos gyakorlatok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foglalkozásokon való részvétel követelményei és a távolmaradás pótlásának lehetősége: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615.0" w:type="dxa"/>
              <w:jc w:val="left"/>
              <w:tblLayout w:type="fixed"/>
              <w:tblLook w:val="0000"/>
            </w:tblPr>
            <w:tblGrid>
              <w:gridCol w:w="8087"/>
              <w:gridCol w:w="2528"/>
              <w:tblGridChange w:id="0">
                <w:tblGrid>
                  <w:gridCol w:w="8087"/>
                  <w:gridCol w:w="2528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Minden csoport számára a félévben két hetes gyakorlati kurzust tartunk. A kurzusokra a NEPTUN rendszerben van lehetőség jelentkezni. Az osztályos gyakorlatokon túl a  hallgatók a gyermek haemato-onkológiai osztályokon alapvető ismereteket szereznek, valamint a gyakorlatvezetővel megbeszélik a betegek kapcsán felmerülő problémákat. A gyakorlati tematikába illesztett speciális foglalkozások során az adott szakterület specialistája bemutatja a téma alapvető fontosságú kérdéseit.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Gyakorlatra fonendoszkópot kötelező hozni, fonendoszkóp nélkül a gyakorlat nem tekinthető teljesítettnek. A gyakorlatokon a részvétel kötelező. A két hetes gyakorlati kurzuson belül </w:t>
                  </w:r>
                  <w:r w:rsidDel="00000000" w:rsidR="00000000" w:rsidRPr="00000000">
                    <w:rPr>
                      <w:rtl w:val="0"/>
                    </w:rPr>
                    <w:t xml:space="preserve">mindenkori összóraszám maximum 25%-áról lehet  hiányozni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. Ezen felül a hiányzásokat pótolni kell, más turnus adott gyakorlatán való részvétellel.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 kurzus és oktatóinak hallgatók általi értékelésére online rendszeren keresztül van lehetőség a turnus időtartama alatt, a turnusban megadott link-en keresztül. Kérjük a visszajelzésekben a hallgatók aktív közreműködését!</w:t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igazolás módja a foglalkozásokon és a vizsgán való távollét esetén: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913.000000000002" w:type="dxa"/>
              <w:jc w:val="left"/>
              <w:tblLayout w:type="fixed"/>
              <w:tblLook w:val="0000"/>
            </w:tblPr>
            <w:tblGrid>
              <w:gridCol w:w="7502"/>
              <w:gridCol w:w="242"/>
              <w:gridCol w:w="2691"/>
              <w:gridCol w:w="239"/>
              <w:gridCol w:w="239"/>
              <w:tblGridChange w:id="0">
                <w:tblGrid>
                  <w:gridCol w:w="7502"/>
                  <w:gridCol w:w="242"/>
                  <w:gridCol w:w="2691"/>
                  <w:gridCol w:w="239"/>
                  <w:gridCol w:w="239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Gyakorlatról történő hiányzás esetén a hallgatónak másik turnusban lehetősége van az adott gyakorlati óra pótlására.</w:t>
                  </w:r>
                </w:p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 hallgató </w:t>
                  </w:r>
                  <w:r w:rsidDel="00000000" w:rsidR="00000000" w:rsidRPr="00000000">
                    <w:rPr>
                      <w:rtl w:val="0"/>
                    </w:rPr>
                    <w:t xml:space="preserve">48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órával a vizsga előtt kihúzhatja magát a Neptun programon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keresztül.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Amennyiben a hallgató a vizsgán nem jelenik meg, "Nem jelent meg" bejegyzés kerül regisztrációra a Neptun programban.</w:t>
                  </w:r>
                </w:p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félévközi ellenőrzések (beszámolók, zárthelyi dolgozatok) száma, témaköre és időpontja, pótlásuk és javításuk lehetősége: 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009.0" w:type="dxa"/>
              <w:jc w:val="left"/>
              <w:tblLayout w:type="fixed"/>
              <w:tblLook w:val="0000"/>
            </w:tblPr>
            <w:tblGrid>
              <w:gridCol w:w="8009"/>
              <w:tblGridChange w:id="0">
                <w:tblGrid>
                  <w:gridCol w:w="8009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shd w:fill="ffffff" w:val="clear"/>
                  <w:vAlign w:val="bottom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1"/>
                    <w:tblW w:w="7869.0" w:type="dxa"/>
                    <w:jc w:val="left"/>
                    <w:tblLayout w:type="fixed"/>
                    <w:tblLook w:val="0000"/>
                  </w:tblPr>
                  <w:tblGrid>
                    <w:gridCol w:w="7869"/>
                    <w:tblGridChange w:id="0">
                      <w:tblGrid>
                        <w:gridCol w:w="7869"/>
                      </w:tblGrid>
                    </w:tblGridChange>
                  </w:tblGrid>
                  <w:tr>
                    <w:trPr>
                      <w:trHeight w:val="300" w:hRule="atLeast"/>
                    </w:trPr>
                    <w:tc>
                      <w:tcPr>
                        <w:vAlign w:val="bottom"/>
                      </w:tcPr>
                      <w:p w:rsidR="00000000" w:rsidDel="00000000" w:rsidP="00000000" w:rsidRDefault="00000000" w:rsidRPr="00000000" w14:paraId="000000BD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360" w:lineRule="auto"/>
                          <w:ind w:left="0" w:right="0" w:firstLine="0"/>
                          <w:jc w:val="both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 gyakorlati kurzus utolsó óráján a hallgatók úgynevezett minimális kompetencia tesztet írnak. A teszt anyagát a gyakorlatokon elhangzottak adják. A teszt megírására későbbi turnusban is van lehetőség.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félév végi aláírás követelményei: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0795.0" w:type="dxa"/>
              <w:jc w:val="left"/>
              <w:tblLayout w:type="fixed"/>
              <w:tblLook w:val="0000"/>
            </w:tblPr>
            <w:tblGrid>
              <w:gridCol w:w="8475"/>
              <w:gridCol w:w="2320"/>
              <w:tblGridChange w:id="0">
                <w:tblGrid>
                  <w:gridCol w:w="8475"/>
                  <w:gridCol w:w="232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 hallgatók egyéni, gyakorlati jelenléti íven vezetik, hogy mely gyakorlatokon vettek részt. A gyakorlatvezető aláírásával igazolja a részvételt. Az a hallgató kaphat aláírást, aki az előírt számú gyakorlaton részt vett és a  minimális kompetencia teszten legalább 60%-os eredményt ért el.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osztályzat kialakításának módja: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félév végén a hallgatók szóbeli kollokviumi vizsgát tesznek a vizsgaidőszakban.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vizsga típusa: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szóbeli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Vizsgakövetelmények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fenti tematika alapján az ismeretek elsajátítása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vizsgajelentkezés módja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tbl>
            <w:tblPr>
              <w:tblStyle w:val="Table13"/>
              <w:tblW w:w="7680.0" w:type="dxa"/>
              <w:jc w:val="left"/>
              <w:tblLayout w:type="fixed"/>
              <w:tblLook w:val="0000"/>
            </w:tblPr>
            <w:tblGrid>
              <w:gridCol w:w="7040"/>
              <w:gridCol w:w="160"/>
              <w:gridCol w:w="160"/>
              <w:gridCol w:w="160"/>
              <w:gridCol w:w="160"/>
              <w:tblGridChange w:id="0">
                <w:tblGrid>
                  <w:gridCol w:w="7040"/>
                  <w:gridCol w:w="160"/>
                  <w:gridCol w:w="160"/>
                  <w:gridCol w:w="160"/>
                  <w:gridCol w:w="16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gridSpan w:val="5"/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 hallgatók a Neptun programban meghirdetett vizsganapokra jelentkezhetnek 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Dékáni Hivatal által megadott időpontokra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vizsgajelentkezés módosításának rendje 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7680.0" w:type="dxa"/>
              <w:jc w:val="left"/>
              <w:tblLayout w:type="fixed"/>
              <w:tblLook w:val="0000"/>
            </w:tblPr>
            <w:tblGrid>
              <w:gridCol w:w="6720"/>
              <w:gridCol w:w="960"/>
              <w:tblGridChange w:id="0">
                <w:tblGrid>
                  <w:gridCol w:w="6720"/>
                  <w:gridCol w:w="96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 hallgató módosíthatja vizsgajelentkezését 72 órával a vizsga előtt.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Utána már a Neptun program lezár, további módosításra már nincs lehetősége.</w:t>
                  </w:r>
                </w:p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vizsgáról való távolmaradás igazolásának módja: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vizsgáról való távolmaradást 3 munkanapon belül igazolni kell a klinikai-oktatási titkárságon.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tananyag elsajátításához felhasználható jegyzetek, tankönyvek, segédletek és szakirodalom listája: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0620.0" w:type="dxa"/>
              <w:jc w:val="left"/>
              <w:tblLayout w:type="fixed"/>
              <w:tblLook w:val="0000"/>
            </w:tblPr>
            <w:tblGrid>
              <w:gridCol w:w="6885"/>
              <w:gridCol w:w="983"/>
              <w:gridCol w:w="2752"/>
              <w:tblGridChange w:id="0">
                <w:tblGrid>
                  <w:gridCol w:w="6885"/>
                  <w:gridCol w:w="983"/>
                  <w:gridCol w:w="2752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Maródi László (szerk.): Gyermekgyógyászat (Medicina, 2014.)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Túri Sándor (szerk.): A gyermekgyógyászat alapjai orvostanhallgatóknak (Medicina, 2009.)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Oláh Éva (szerk.): Gyermekgyógyászati kézikönyv (Medicina, 2009.)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Tulassay Tivadar (szerk.): Gyermekgyógyászati Útmutató (Medition, 2003-2009)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8" w:top="1418" w:left="964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